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2008 5 vom 3. Oktober 2007</w:t>
      </w:r>
    </w:p>
    <w:p>
      <w:r>
        <w:t>GR Gerichte, 2007-10-03, DE</w:t>
      </w:r>
    </w:p>
    <w:p>
      <w:r>
        <w:rPr>
          <w:b/>
        </w:rPr>
        <w:t xml:space="preserve">Quelle: </w:t>
      </w:r>
      <w:r>
        <w:t>https://mcp.opencaselaw.ch/entscheid/gr_gerichte_PVG 2008 5</w:t>
      </w:r>
    </w:p>
    <w:p>
      <w:r>
        <w:t>FR: GR_GERICHTE PVG 2008 5 du 3 octobre 2007</w:t>
      </w:r>
    </w:p>
    <w:p>
      <w:r>
        <w:t>IT: GR_GERICHTE PVG 2008 5 del 3 ottobre 2007</w:t>
      </w:r>
    </w:p>
    <w:p>
      <w:pPr>
        <w:pStyle w:val="Heading2"/>
      </w:pPr>
      <w:r>
        <w:t>Erwägungen</w:t>
      </w:r>
    </w:p>
    <w:p>
      <w:r>
        <w:rPr>
          <w:b/>
        </w:rPr>
        <w:t>E. 2</w:t>
      </w:r>
    </w:p>
    <w:p>
      <w:r>
        <w:t>Gemäss Art. 7 Abs. 1 NG haben die Notariatspersonen und ihre Hilfskräfte, die Notariatskommission und die mit Ins- pektionen betrauten Personen über ihre Tätigkeiten und Wahrneh- mungen bei Ausübung ihres Amtes Verschwiegenheit zu bewahren. Diese Schweigepflicht beruht auf verschiedenen Über- legungen: Einerseits ist die Geheimhaltungspflicht des Notars eine Folge seines ausschliesslichen Rechts, öffentliche Beurkun- dungen vorzunehmen. Diese Zwangssituation kann dem Bürger nur zugemutet werden, wenn er weiss, dass der Notar von Geset- zes wegen verpflichtet ist, über die so erworbenen Kenntnisse mit teilweise persönlichem oder anderweitig heiklem Charakter Drit- ten gegenüber zu schweigen (Ruf Peter, Notariatsrecht, Langen- thal 1995, S. 253 N 945). Andererseits soll mit der Mitwirkung der Urkundsperson dafür gesorgt sein, dass der Wille der Beteiligten klar zum Ausdruck kommt und dass er vollständig und un- missverständlich formuliert ist (vgl. Sidler Kurt, Kurzkommentar zum luzernischen Beurkundungsgesetz, Luzern 1975, N 10). Diese Zweckbestimmung findet ihre Folge in Art. 9 ZGB, wonach eine öffentliche Urkunde den vollen Beweis liefert, solange nicht ihre inhaltliche Unrichtigkeit nachgewiesen ist. Das erhöhte Vertrauen in die öffentliche Urkunde basiert auf der eben dargelegten Zweck- bestimmung. Dies setzt voraus, dass eine Urkundspartei der Urkundsperson alle relevanten Punkte eröffnet. Hier knüpft die Ver- schwiegenheitspflicht an. Der Schutz des Geheimnisses soll die Ausübung bestimmter Berufe im öffentlichen Interesse erleich- tern. Demgemäss können diese Ämter nur dann richtig und ein- wandfrei ausgeübt werden, wenn das Publikum aufgrund einer grundsätzlich unbedingten Garantie der Verschwiegenheit das unentbehrliche Vertrauen zum Inhaber des Berufes hat (vgl. BGE 112 Ib 606 f.; Luzerner Gerichts- und Verwaltungsent- scheide (LGVE) 1999 I Nr. 17). Zudem übt der Notar eine hoheitli- che Funktion innerhalb der freiwilligen Gerichtsbarkeit aus (vgl. Ruf a.a.O., S. 74 N 249 f. und S. 83 N 284 f.), weshalb auch der Staat dafür zu sorgen hat, dass volles Vertrauen des Publikums zu diesem Berufsstand besteht.</w:t>
      </w:r>
    </w:p>
    <w:p>
      <w:r>
        <w:rPr>
          <w:b/>
        </w:rPr>
        <w:t>E. 3</w:t>
      </w:r>
    </w:p>
    <w:p>
      <w:r>
        <w:t>a) Verletzungen des Berufsgeheimnisses können diszi- plinarrechtliche und strafrechtliche Folgen nach sich ziehen (vgl. Art. 42 ff. NGetz). Nach Art. 321 StGB werden Notare, die ein Geheimnis offenbaren, das ihnen infolge ihres Berufes anvertraut worden ist, oder das sie in dessen Ausübung wahrgenommen ha- ben, auf Antrag mit Freiheitsstrafe bis zu drei Jahren oder Geld-</w:t>
      </w:r>
    </w:p>
    <w:p>
      <w:r>
        <w:t>4/5 Notariatsrecht PVG 2008 35 strafe bestraft. Die Verletzung des Berufsgeheimnisses ist auch nach Beendigung der Berufsausübung strafbar (Ziff. 1). Der Täter ist nicht strafbar, wenn er das Geheimnis auf Grund einer Einwilli- gung des Berechtigten oder einer auf Gesuch des Täters erteilten schriftlichen Bewilligung der vorgesetzten Behörde oder Auf- sichtsbehörde offenbart hat (Ziff. 2). Einwilligen müssen alle Ur- kundsparteien als so genannte Geheimnisherren (Trechsel Stefan, Schweizerisches Strafgesetzbuch, Kurzkommentar, Zürich 1997, Art. 321, S. 1019 N 26). Fehlt eine Einwilligung und will der Notar trotzdem ein Geheimnis offenbaren, so ist dies nur mit Bewilli- gung der zuständigen Behörde zulässig. Der Notar muss – wie vor- liegend – ein Gesuch um Befreiung vom Berufsgeheimnis an die Kommission als zuständige Aufsichtsbehörde stellen. Zur Stellung des Gesuchs ist nur der Geheimnisträger selber befugt, nicht etwa eine Gerichtsbehörde (vgl. ZGRG 1999, S. 88 E. 4). Der Grund- satz des rechtlichen Gehörs gebietet es, dass die Kommission dem nicht einwilligenden Geheimnisherrn Kenntnis vom Gesuch und Gelegenheit zur Stellungnahme gibt (vgl. Rundschreiben Nr. 2/2000 der Notariatskommission vom 15. Juli 2000 betreffend Notar als Zeuge im Bündner Prozess, S. 4 II. 3. a und b). Die nicht einwilligende Geheimnisherrin konnte sich im vorliegenden Fall mit Stellungnahme vom 4. Juni 2007 zur Sache äussern. b) Dem Gesetz lassen sich keine Kriterien entnehmen, wel- che von der vorgesetzten Behörde oder Aufsichtsbehörde bei ihrem Entscheid zu beachten sind. Sie wird deshalb in aller Regel aufgrund allgemeiner Kriterien eine Abwägung der für die Preis- gabe oder Wahrung des Geheimnisses massgebenden Interessen vorzunehmen haben (Basler Kommentar, StGB II, Basel 2003, Oberholzer Niklaus, Art. 321 N 19; Sidler a.a.O., S. 28). Nach der Praxis kann es sich aber nur um ein höheres Interesse handeln, welches als schutzwürdiger erscheint als das entgegenstehende Interesse an der Geheimhaltung (BGE 91 I 205, 102 Ia 520 E. 3). Die Aufsichtsbehörde hat freies Ermessen, ob und unter welchen Vor- aussetzungen die Bewilligung zur Aussage erteilt oder verweigert werden soll (Rehberg Jörg, Schweizerisches Strafgesetzbuch, Zürich 1999, S. 481). Im Beschluss vom 25. September 2007 hat die Notariats- kommission die verschiedenen Interessen gegeneinander abge- wogen. Sie führte aus, es bestehe ein privates Interesse der Ur- kundspartei als Geheimnisherr, dass bestimmte Umstände nicht offenbart würden. Ein solches Interesse an der Geheimhaltung könne auch eine Drittperson haben. Daneben bestehe ein privates</w:t>
      </w:r>
    </w:p>
    <w:p>
      <w:r>
        <w:t>4/5 Notariatsrecht PVG 2008 36 Interesse des Notars auf Schutz seiner persönlichen Freiheit, sei es durch Preisgabe oder Wahrung eines Geheimnisses. Sodann bestehe einerseits ein öffentliches Interesse an der Wahrung des Berufsgeheimnisses, um das erforderliche Vertrauen der Bevölke- rung zum Notar zu schaffen und zu erhalten, andererseits aber auch ein öffentliches Interesse an der Ermittlung der materiellen Wahrheit über Vorgänge oder Tatsachen, welche zwar unter das Notariatsgeheimnis fallen würden, aber in einem staatlichen Ver- fahren strittig seien. Nach Erfassung und Gewichtung der mass- gebenden Interessen unter Berücksichtigung aller beachtenswer- ten Umstände hielt die Kommission fest, dass ein beachtliches öffentliches Interesse an der Preisgabe des Notariatsgeheimnisses bestehe. Dadurch könne der Notar als Zeuge im Zivilprozess zur Ermittlung der materiellen Wahrheit beitragen. Den entgegenste- henden privaten Interessen werde demgegenüber durch die Be- weiswürdigungspflicht des Zivilrichters im Sinne von Art. 186 Abs. 2 der Zivilprozessordnung des Kantons Graubünden (ZPO; BR 320.000) genügend Rechnung getragen. c) Der Notariatskommission steht als unabhängige Fachin- stanz ein weites Ermessen zu, welches sie im Rahmen des Geset- zes auszuüben hat. Durch das Ermessen erhalten die Behörden ei- nen Spielraum für den Entscheid im Einzelfall. Dies bedeutet jedoch nicht, dass sie in ihrer Entscheidung völlig frei sind. Viel- mehr müssen sie ihr Ermessen pflichtgemäss ausüben und die Er- messensentscheide begründen (vgl. Häfelin Ulrich/Müller Georg, Allgemeines Verwaltungsrecht, Zürich 2002, S. 93 N 441 f.). d) Gemäss Art. 51 Abs. 1 des Gesetzes über die Verwal- tungsrechtspflege (VRG; BR 370.100) beschränkt sich die Kogni- tion des Verwaltungsgerichtes bei der Prüfung einer Beschwerde auf Rechtsverletzungen einschliesslich Überschreitung oder Miss- brauch des Ermessens (lit. a) sowie auf die unrichtige oder unvoll- ständige Feststellung des rechtserheblichen Sachverhaltes (lit. b). Die Überprüfung findet somit im Rahmen einer Rechtskontrolle statt, welche im Gegensatz zu einer Ermessenskontrolle neben Rechtsverletzungen lediglich die willkürliche Ausübung des Ermessens (Ermessensüberschreitung, -unterschreitung und -missbrauch) zum Gegenstand hat. Eine Prüfung der Unangemes- senheit oder Unzweckmässigkeit einer Verfügung kann im Allge- meinen mit der Beschwerde nicht geltend gemacht werden. Diese Beschränkung der Überprüfungsbefugnis ergibt sich auch aus der Tatsache, dass die Verwaltungsgerichte – im Gegensatz zu den meisten Rechtsmittelbehörden in der verwaltungsinternen Verwal-</w:t>
      </w:r>
    </w:p>
    <w:p>
      <w:r>
        <w:t>4/5 Notariatsrecht PVG 2008 37 tungsrechtspflege – den Verwaltungsbehörden nicht hierarchisch übergeordnet sind (vgl. zur Kognition in der verwaltungsexternen Verwaltungsrechtspflege: Häfelin Ulrich/Müller Georg a.a.O., S. 400 N 1930). Im vorliegenden Fall hat die Aufsichtsbehörde die mass- gebenden Interessen erfasst und gegeneinander abgewogen. Sie hat das ihr zustehende Ermessen korrekt ausgeübt, d.h. es liegt weder eine Überschreitung noch ein Missbrauch des Ermessens vor. Ermessensfehler werden auch von der Beschwerdeführerin nicht gerügt. Da der Entscheid überdies ausführlich und schlüssig begründet wurde, ist am Beschluss, den Notar von seinem Be- rufsgeheimnis zu befreien, nichts auszusetzen. U 07 98 Urteil vom 25. Januar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